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B7" w:rsidRDefault="00D155B7" w:rsidP="00D155B7">
      <w:pPr>
        <w:tabs>
          <w:tab w:val="left" w:pos="4860"/>
        </w:tabs>
        <w:jc w:val="center"/>
      </w:pPr>
      <w:r>
        <w:t xml:space="preserve">МУНИЦИПАЛЬНОЕ БЮДЖЕТНОЕ УЧРЕЖДЕНИЕ </w:t>
      </w:r>
    </w:p>
    <w:p w:rsidR="00D155B7" w:rsidRDefault="00D155B7" w:rsidP="00D155B7">
      <w:pPr>
        <w:tabs>
          <w:tab w:val="left" w:pos="4860"/>
        </w:tabs>
        <w:jc w:val="center"/>
      </w:pPr>
      <w:r>
        <w:t xml:space="preserve">ДОПОЛНИТЕЛЬНОГО ОБРАЗОВАНИЯ </w:t>
      </w:r>
    </w:p>
    <w:p w:rsidR="00D155B7" w:rsidRDefault="00D155B7" w:rsidP="00D155B7">
      <w:pPr>
        <w:jc w:val="center"/>
      </w:pPr>
      <w:r>
        <w:t>«РАЙОННЫЙ ДОМ ДЕТСКОГО ТВОРЧЕСТВА»</w:t>
      </w:r>
    </w:p>
    <w:p w:rsidR="00D155B7" w:rsidRDefault="00D155B7" w:rsidP="00D155B7">
      <w:pPr>
        <w:jc w:val="center"/>
      </w:pPr>
      <w:r>
        <w:t>Мордовского района Тамбовской области</w:t>
      </w: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0"/>
        <w:gridCol w:w="3211"/>
      </w:tblGrid>
      <w:tr w:rsidR="00D155B7" w:rsidTr="00CE226A">
        <w:tc>
          <w:tcPr>
            <w:tcW w:w="3379" w:type="dxa"/>
          </w:tcPr>
          <w:p w:rsidR="00D155B7" w:rsidRDefault="00D155B7" w:rsidP="00D155B7">
            <w:r>
              <w:t xml:space="preserve">«УТВЕРЖДАЮ» </w:t>
            </w:r>
          </w:p>
          <w:p w:rsidR="00D155B7" w:rsidRDefault="00882A58" w:rsidP="00D155B7">
            <w:r>
              <w:t xml:space="preserve">Директор 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D155B7">
              <w:t>«Районный</w:t>
            </w:r>
          </w:p>
          <w:p w:rsidR="00D155B7" w:rsidRDefault="00D155B7" w:rsidP="00D155B7">
            <w:r>
              <w:t>Дом детского творчества»</w:t>
            </w:r>
          </w:p>
          <w:p w:rsidR="00882A58" w:rsidRDefault="00D155B7" w:rsidP="00D155B7">
            <w:r>
              <w:t>_____________</w:t>
            </w:r>
            <w:r w:rsidR="00882A58">
              <w:t>___</w:t>
            </w:r>
          </w:p>
          <w:p w:rsidR="00D155B7" w:rsidRDefault="00D155B7" w:rsidP="00D155B7">
            <w:r>
              <w:t xml:space="preserve"> Л.Н. Чепелева</w:t>
            </w:r>
          </w:p>
          <w:p w:rsidR="00D155B7" w:rsidRDefault="00D155B7" w:rsidP="00D155B7">
            <w:r>
              <w:t>«</w:t>
            </w:r>
            <w:r w:rsidR="0081420D">
              <w:rPr>
                <w:i/>
              </w:rPr>
              <w:t>0</w:t>
            </w:r>
            <w:r w:rsidR="00694086">
              <w:rPr>
                <w:i/>
              </w:rPr>
              <w:t>1</w:t>
            </w:r>
            <w:r>
              <w:t xml:space="preserve">» </w:t>
            </w:r>
            <w:r w:rsidR="0081420D">
              <w:rPr>
                <w:i/>
              </w:rPr>
              <w:t>сентября</w:t>
            </w:r>
            <w:r>
              <w:t xml:space="preserve"> 20</w:t>
            </w:r>
            <w:r w:rsidR="0081420D">
              <w:rPr>
                <w:i/>
              </w:rPr>
              <w:t>1</w:t>
            </w:r>
            <w:r w:rsidR="00694086">
              <w:rPr>
                <w:i/>
              </w:rPr>
              <w:t>5</w:t>
            </w:r>
            <w:r>
              <w:t xml:space="preserve"> г.</w:t>
            </w:r>
          </w:p>
          <w:p w:rsidR="00D155B7" w:rsidRDefault="00D155B7" w:rsidP="00D155B7">
            <w:pPr>
              <w:jc w:val="center"/>
            </w:pPr>
          </w:p>
        </w:tc>
        <w:tc>
          <w:tcPr>
            <w:tcW w:w="3379" w:type="dxa"/>
          </w:tcPr>
          <w:p w:rsidR="00D155B7" w:rsidRDefault="00D155B7" w:rsidP="00D155B7">
            <w:r>
              <w:t>РАССМОТРЕНО</w:t>
            </w:r>
          </w:p>
          <w:p w:rsidR="00D155B7" w:rsidRDefault="00D155B7" w:rsidP="00D155B7">
            <w:r>
              <w:t xml:space="preserve">на заседании </w:t>
            </w:r>
            <w:proofErr w:type="gramStart"/>
            <w:r>
              <w:t>педагогического</w:t>
            </w:r>
            <w:proofErr w:type="gramEnd"/>
          </w:p>
          <w:p w:rsidR="00882A58" w:rsidRDefault="00882A58" w:rsidP="00D155B7">
            <w:r>
              <w:t xml:space="preserve">Совета МБУ </w:t>
            </w:r>
            <w:proofErr w:type="gramStart"/>
            <w:r>
              <w:t>ДО</w:t>
            </w:r>
            <w:proofErr w:type="gramEnd"/>
            <w:r w:rsidR="00D155B7">
              <w:t xml:space="preserve"> </w:t>
            </w:r>
          </w:p>
          <w:p w:rsidR="00D155B7" w:rsidRDefault="00D155B7" w:rsidP="00D155B7">
            <w:r>
              <w:t>«</w:t>
            </w:r>
            <w:proofErr w:type="gramStart"/>
            <w:r>
              <w:t>Районный</w:t>
            </w:r>
            <w:proofErr w:type="gramEnd"/>
            <w:r>
              <w:t xml:space="preserve"> Дом детского творчества»</w:t>
            </w:r>
          </w:p>
          <w:p w:rsidR="00D155B7" w:rsidRDefault="00D155B7" w:rsidP="00D155B7">
            <w:r>
              <w:t xml:space="preserve">Протокол № </w:t>
            </w:r>
            <w:r w:rsidR="00CE226A">
              <w:rPr>
                <w:i/>
              </w:rPr>
              <w:t>1</w:t>
            </w:r>
            <w:r>
              <w:t xml:space="preserve"> </w:t>
            </w:r>
          </w:p>
          <w:p w:rsidR="00D155B7" w:rsidRDefault="00D155B7" w:rsidP="00D155B7">
            <w:r>
              <w:t>от «</w:t>
            </w:r>
            <w:r w:rsidR="00CE226A" w:rsidRPr="00CE226A">
              <w:rPr>
                <w:i/>
              </w:rPr>
              <w:t>0</w:t>
            </w:r>
            <w:r w:rsidR="00694086">
              <w:rPr>
                <w:i/>
              </w:rPr>
              <w:t>1</w:t>
            </w:r>
            <w:r>
              <w:t xml:space="preserve">» </w:t>
            </w:r>
            <w:r w:rsidR="00CE226A">
              <w:rPr>
                <w:i/>
              </w:rPr>
              <w:t>сентября</w:t>
            </w:r>
            <w:r>
              <w:t xml:space="preserve"> 20</w:t>
            </w:r>
            <w:r w:rsidR="00CE226A">
              <w:rPr>
                <w:i/>
              </w:rPr>
              <w:t>1</w:t>
            </w:r>
            <w:r w:rsidR="00694086">
              <w:rPr>
                <w:i/>
              </w:rPr>
              <w:t>5</w:t>
            </w:r>
            <w:r>
              <w:t xml:space="preserve"> г.</w:t>
            </w:r>
          </w:p>
          <w:p w:rsidR="00D155B7" w:rsidRDefault="00D155B7" w:rsidP="00D155B7">
            <w:pPr>
              <w:jc w:val="center"/>
            </w:pPr>
          </w:p>
        </w:tc>
        <w:tc>
          <w:tcPr>
            <w:tcW w:w="3379" w:type="dxa"/>
          </w:tcPr>
          <w:p w:rsidR="00D155B7" w:rsidRPr="00D155B7" w:rsidRDefault="00D155B7" w:rsidP="00D155B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55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155B7" w:rsidRPr="0081420D" w:rsidRDefault="00D155B7" w:rsidP="0081420D">
            <w:r w:rsidRPr="00D155B7">
              <w:t xml:space="preserve">на заседании Профсоюзного комитета  </w:t>
            </w:r>
            <w:r w:rsidR="00694086">
              <w:t xml:space="preserve">МБУ ДО </w:t>
            </w:r>
            <w:r>
              <w:t>«</w:t>
            </w:r>
            <w:proofErr w:type="gramStart"/>
            <w:r>
              <w:t>Районный</w:t>
            </w:r>
            <w:proofErr w:type="gramEnd"/>
            <w:r>
              <w:t xml:space="preserve"> Дом детского творчества»</w:t>
            </w:r>
          </w:p>
          <w:p w:rsidR="007132FC" w:rsidRDefault="007132FC" w:rsidP="00D155B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155B7" w:rsidRPr="00B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B7"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55B7" w:rsidRPr="00CA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155B7" w:rsidRPr="007132FC" w:rsidRDefault="00D155B7" w:rsidP="00D155B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132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32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713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2F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132F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408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13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155B7" w:rsidRPr="00B60C6B" w:rsidRDefault="00D155B7" w:rsidP="00D155B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0C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132FC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</w:p>
          <w:p w:rsidR="00D155B7" w:rsidRPr="00B60C6B" w:rsidRDefault="00694086" w:rsidP="00D155B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132FC">
              <w:rPr>
                <w:rFonts w:ascii="Times New Roman" w:hAnsi="Times New Roman" w:cs="Times New Roman"/>
                <w:sz w:val="24"/>
                <w:szCs w:val="24"/>
              </w:rPr>
              <w:t xml:space="preserve"> Пасенова Л.Ю</w:t>
            </w:r>
            <w:r w:rsidR="00D1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5B7" w:rsidRDefault="00D155B7" w:rsidP="007132FC">
            <w:pPr>
              <w:jc w:val="center"/>
            </w:pPr>
            <w:r w:rsidRPr="00466998">
              <w:t xml:space="preserve">      </w:t>
            </w:r>
          </w:p>
        </w:tc>
      </w:tr>
    </w:tbl>
    <w:p w:rsidR="0052132F" w:rsidRDefault="0052132F" w:rsidP="00D155B7"/>
    <w:p w:rsidR="0052132F" w:rsidRPr="0052132F" w:rsidRDefault="0052132F" w:rsidP="0052132F"/>
    <w:p w:rsidR="0052132F" w:rsidRDefault="0052132F" w:rsidP="0052132F"/>
    <w:p w:rsidR="0052132F" w:rsidRPr="0052132F" w:rsidRDefault="0052132F" w:rsidP="0052132F"/>
    <w:p w:rsidR="0052132F" w:rsidRPr="0052132F" w:rsidRDefault="0052132F" w:rsidP="0052132F"/>
    <w:p w:rsidR="0052132F" w:rsidRPr="0052132F" w:rsidRDefault="0052132F" w:rsidP="0052132F"/>
    <w:p w:rsidR="0052132F" w:rsidRPr="0052132F" w:rsidRDefault="0052132F" w:rsidP="0052132F"/>
    <w:p w:rsidR="00D155B7" w:rsidRDefault="00D155B7" w:rsidP="00D155B7"/>
    <w:p w:rsidR="00290804" w:rsidRDefault="00290804" w:rsidP="00290804">
      <w:pPr>
        <w:spacing w:after="120" w:line="360" w:lineRule="auto"/>
        <w:ind w:left="62" w:right="62"/>
        <w:jc w:val="center"/>
        <w:rPr>
          <w:b/>
          <w:sz w:val="28"/>
          <w:szCs w:val="28"/>
        </w:rPr>
      </w:pPr>
      <w:r w:rsidRPr="0029080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290804">
        <w:rPr>
          <w:b/>
          <w:sz w:val="28"/>
          <w:szCs w:val="28"/>
        </w:rPr>
        <w:t xml:space="preserve"> </w:t>
      </w:r>
    </w:p>
    <w:p w:rsidR="00290804" w:rsidRPr="00290804" w:rsidRDefault="00290804" w:rsidP="00290804">
      <w:pPr>
        <w:spacing w:after="120" w:line="360" w:lineRule="auto"/>
        <w:ind w:left="62" w:right="62"/>
        <w:jc w:val="center"/>
        <w:rPr>
          <w:b/>
          <w:sz w:val="28"/>
          <w:szCs w:val="28"/>
        </w:rPr>
      </w:pPr>
      <w:r w:rsidRPr="00290804">
        <w:rPr>
          <w:b/>
          <w:sz w:val="28"/>
          <w:szCs w:val="28"/>
        </w:rPr>
        <w:t>ОПРЕДЕЛЕНИЯ</w:t>
      </w:r>
      <w:r>
        <w:rPr>
          <w:b/>
          <w:sz w:val="28"/>
          <w:szCs w:val="28"/>
        </w:rPr>
        <w:t xml:space="preserve"> </w:t>
      </w:r>
      <w:r w:rsidRPr="00290804">
        <w:rPr>
          <w:b/>
          <w:sz w:val="28"/>
          <w:szCs w:val="28"/>
        </w:rPr>
        <w:t>РАЗМЕРА РЕГУЛЯРНОЙ (ПОСТОЯННОЙ) СТИМУЛИРУЮЩЕЙ</w:t>
      </w:r>
      <w:r>
        <w:rPr>
          <w:b/>
          <w:sz w:val="28"/>
          <w:szCs w:val="28"/>
        </w:rPr>
        <w:t xml:space="preserve"> </w:t>
      </w:r>
      <w:r w:rsidRPr="00290804">
        <w:rPr>
          <w:b/>
          <w:sz w:val="28"/>
          <w:szCs w:val="28"/>
        </w:rPr>
        <w:t>ВЫПЛАТЫ РАБОТНИКАМ УЧРЕЖДЕНИЯ</w:t>
      </w:r>
    </w:p>
    <w:p w:rsidR="00D155B7" w:rsidRDefault="00D155B7" w:rsidP="00290804">
      <w:pPr>
        <w:spacing w:line="360" w:lineRule="auto"/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52132F"/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Pr="00101039" w:rsidRDefault="00D155B7" w:rsidP="00D155B7">
      <w:pPr>
        <w:jc w:val="center"/>
      </w:pPr>
    </w:p>
    <w:p w:rsidR="00D155B7" w:rsidRDefault="00D155B7" w:rsidP="00D155B7">
      <w:pPr>
        <w:jc w:val="center"/>
      </w:pPr>
    </w:p>
    <w:p w:rsidR="00D155B7" w:rsidRDefault="00D155B7" w:rsidP="00D155B7">
      <w:pPr>
        <w:jc w:val="center"/>
      </w:pPr>
      <w:r>
        <w:t>МОРДОВО</w:t>
      </w:r>
    </w:p>
    <w:p w:rsidR="00D155B7" w:rsidRDefault="00D155B7" w:rsidP="00D155B7">
      <w:pPr>
        <w:jc w:val="center"/>
      </w:pPr>
      <w:r>
        <w:t>201</w:t>
      </w:r>
      <w:r w:rsidR="00455EFD">
        <w:t>5</w:t>
      </w:r>
    </w:p>
    <w:p w:rsidR="00D954BC" w:rsidRPr="00466998" w:rsidRDefault="00D954BC" w:rsidP="007842A2">
      <w:pPr>
        <w:spacing w:line="360" w:lineRule="auto"/>
        <w:rPr>
          <w:b/>
        </w:rPr>
      </w:pPr>
      <w:r w:rsidRPr="00466998">
        <w:rPr>
          <w:b/>
        </w:rPr>
        <w:lastRenderedPageBreak/>
        <w:t xml:space="preserve">                </w:t>
      </w:r>
      <w:r w:rsidR="007842A2">
        <w:rPr>
          <w:b/>
        </w:rPr>
        <w:t xml:space="preserve">                             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b/>
          <w:color w:val="000000"/>
        </w:rPr>
      </w:pPr>
      <w:r w:rsidRPr="00290804">
        <w:rPr>
          <w:b/>
          <w:color w:val="000000"/>
        </w:rPr>
        <w:t>1. Общие положения</w:t>
      </w:r>
    </w:p>
    <w:p w:rsidR="001524C0" w:rsidRPr="001524C0" w:rsidRDefault="00290804" w:rsidP="001524C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24C0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1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определения размера регулярной (постоянной) ст</w:t>
      </w:r>
      <w:r w:rsidRPr="001524C0">
        <w:rPr>
          <w:rFonts w:ascii="Times New Roman" w:hAnsi="Times New Roman"/>
          <w:color w:val="000000"/>
          <w:sz w:val="24"/>
          <w:szCs w:val="24"/>
        </w:rPr>
        <w:t xml:space="preserve">имулирующей выплаты работникам муниципального </w:t>
      </w:r>
      <w:r w:rsidR="00455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Pr="001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Pr="001524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1524C0">
        <w:rPr>
          <w:rFonts w:ascii="Times New Roman" w:hAnsi="Times New Roman"/>
          <w:color w:val="000000"/>
          <w:sz w:val="24"/>
          <w:szCs w:val="24"/>
        </w:rPr>
        <w:t>«Районный Дом детского творчества»</w:t>
      </w:r>
      <w:r w:rsidRPr="001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по тексту – Порядок) разработан </w:t>
      </w:r>
      <w:r w:rsidR="001524C0">
        <w:rPr>
          <w:rFonts w:ascii="Times New Roman" w:hAnsi="Times New Roman"/>
          <w:sz w:val="24"/>
          <w:szCs w:val="24"/>
        </w:rPr>
        <w:t>в</w:t>
      </w:r>
      <w:r w:rsidR="001524C0" w:rsidRPr="001524C0">
        <w:rPr>
          <w:rFonts w:ascii="Times New Roman" w:hAnsi="Times New Roman"/>
          <w:sz w:val="24"/>
          <w:szCs w:val="24"/>
        </w:rPr>
        <w:t xml:space="preserve"> целях реализации распоряжения администрации области от 30.04.2013 № 173-р «Об утверждении Плана мероприятий по реализации в Тамбовской области Программы поэтапного совершенствования системы оплаты труда в государственных (муниципальных) учреждениях на 2012-2018 годы» и постановления администрации Мордовского района от 03.06.2013</w:t>
      </w:r>
      <w:proofErr w:type="gramEnd"/>
      <w:r w:rsidR="001524C0">
        <w:rPr>
          <w:rFonts w:ascii="Times New Roman" w:hAnsi="Times New Roman"/>
          <w:sz w:val="24"/>
          <w:szCs w:val="24"/>
        </w:rPr>
        <w:t>г.</w:t>
      </w:r>
      <w:r w:rsidR="001524C0" w:rsidRPr="001524C0">
        <w:rPr>
          <w:rFonts w:ascii="Times New Roman" w:hAnsi="Times New Roman"/>
          <w:sz w:val="24"/>
          <w:szCs w:val="24"/>
        </w:rPr>
        <w:t xml:space="preserve">  № 569</w:t>
      </w:r>
      <w:r w:rsidR="001524C0">
        <w:rPr>
          <w:rFonts w:ascii="Times New Roman" w:hAnsi="Times New Roman"/>
          <w:sz w:val="24"/>
          <w:szCs w:val="24"/>
        </w:rPr>
        <w:t xml:space="preserve"> «</w:t>
      </w:r>
      <w:r w:rsidR="001524C0" w:rsidRPr="001524C0">
        <w:rPr>
          <w:rFonts w:ascii="Times New Roman" w:hAnsi="Times New Roman"/>
          <w:sz w:val="24"/>
          <w:szCs w:val="24"/>
        </w:rPr>
        <w:t xml:space="preserve">Об утверждении  </w:t>
      </w:r>
      <w:proofErr w:type="gramStart"/>
      <w:r w:rsidR="001524C0" w:rsidRPr="001524C0">
        <w:rPr>
          <w:rFonts w:ascii="Times New Roman" w:hAnsi="Times New Roman"/>
          <w:sz w:val="24"/>
          <w:szCs w:val="24"/>
        </w:rPr>
        <w:t>показателей эффективности деятельности работников муниципальных учреждений</w:t>
      </w:r>
      <w:proofErr w:type="gramEnd"/>
      <w:r w:rsidR="001524C0">
        <w:rPr>
          <w:rFonts w:ascii="Times New Roman" w:hAnsi="Times New Roman"/>
          <w:sz w:val="24"/>
          <w:szCs w:val="24"/>
        </w:rPr>
        <w:t>».</w:t>
      </w:r>
      <w:r w:rsidR="001524C0" w:rsidRPr="001524C0">
        <w:rPr>
          <w:rFonts w:ascii="Times New Roman" w:hAnsi="Times New Roman"/>
          <w:sz w:val="24"/>
          <w:szCs w:val="24"/>
        </w:rPr>
        <w:t xml:space="preserve"> </w:t>
      </w:r>
    </w:p>
    <w:p w:rsidR="00290804" w:rsidRPr="00290804" w:rsidRDefault="001524C0" w:rsidP="001524C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290804" w:rsidRPr="0029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Порядка распространяется на руководящих, педагогических и других категорий работников.</w:t>
      </w:r>
    </w:p>
    <w:p w:rsidR="00290804" w:rsidRPr="00290804" w:rsidRDefault="00290804" w:rsidP="001524C0">
      <w:pPr>
        <w:spacing w:line="276" w:lineRule="auto"/>
        <w:ind w:right="60"/>
        <w:jc w:val="both"/>
        <w:rPr>
          <w:color w:val="000000"/>
        </w:rPr>
      </w:pPr>
      <w:r w:rsidRPr="00290804">
        <w:rPr>
          <w:color w:val="000000"/>
        </w:rPr>
        <w:t>1.3</w:t>
      </w:r>
      <w:r w:rsidR="001524C0">
        <w:rPr>
          <w:color w:val="000000"/>
        </w:rPr>
        <w:t xml:space="preserve">. </w:t>
      </w:r>
      <w:r w:rsidRPr="00290804">
        <w:rPr>
          <w:color w:val="000000"/>
        </w:rPr>
        <w:t>Порядок регламентирует определение размера регулярной (постоянной) стимулирующей выплаты (далее по тексту – регулярная стимулирующая выплата) руководящим, педагогическим и другим категориям работников из фонда надбавок и доплат.</w:t>
      </w:r>
    </w:p>
    <w:p w:rsidR="00290804" w:rsidRPr="00290804" w:rsidRDefault="00290804" w:rsidP="001524C0">
      <w:pPr>
        <w:spacing w:line="276" w:lineRule="auto"/>
        <w:ind w:right="60"/>
        <w:jc w:val="both"/>
        <w:rPr>
          <w:color w:val="000000"/>
        </w:rPr>
      </w:pPr>
      <w:r w:rsidRPr="00290804">
        <w:rPr>
          <w:color w:val="000000"/>
        </w:rPr>
        <w:t>1.4</w:t>
      </w:r>
      <w:r w:rsidR="001524C0">
        <w:rPr>
          <w:color w:val="000000"/>
        </w:rPr>
        <w:t>.</w:t>
      </w:r>
      <w:r w:rsidRPr="00290804">
        <w:rPr>
          <w:color w:val="000000"/>
        </w:rPr>
        <w:t xml:space="preserve"> Регулярная стимулирующая выплата носит постоянный характер, связана с итогами работы, достижениями высоких результатов в профессиональной деятельности, способствующих повышению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образования, имиджу учреждения  и направлена: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 xml:space="preserve">-  на стимулирование особой ответственности и инициативы работников, существенно влияющих на повышение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деятельности учреждения;</w:t>
      </w:r>
    </w:p>
    <w:p w:rsidR="00290804" w:rsidRPr="00290804" w:rsidRDefault="00763566" w:rsidP="00290804">
      <w:pPr>
        <w:spacing w:line="276" w:lineRule="auto"/>
        <w:ind w:left="60" w:right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290804" w:rsidRPr="00290804">
        <w:rPr>
          <w:color w:val="000000"/>
        </w:rPr>
        <w:t xml:space="preserve">на стимулирование работников в повышении </w:t>
      </w:r>
      <w:r w:rsidR="00AF7B5D">
        <w:rPr>
          <w:color w:val="000000"/>
        </w:rPr>
        <w:t>эффективности</w:t>
      </w:r>
      <w:r w:rsidR="00290804" w:rsidRPr="00290804">
        <w:rPr>
          <w:color w:val="000000"/>
        </w:rPr>
        <w:t>, эффективности, результативности труда.</w:t>
      </w:r>
    </w:p>
    <w:p w:rsid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1.5</w:t>
      </w:r>
      <w:r w:rsidR="00763566">
        <w:rPr>
          <w:color w:val="000000"/>
        </w:rPr>
        <w:t>.</w:t>
      </w:r>
      <w:r w:rsidRPr="00290804">
        <w:rPr>
          <w:color w:val="000000"/>
        </w:rPr>
        <w:t xml:space="preserve"> Основанием для регулярных стимулирующих выплат являются показатели оценки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 по утвержденным критериям для каждой категории работников учреждения.</w:t>
      </w:r>
    </w:p>
    <w:p w:rsidR="00763566" w:rsidRPr="00290804" w:rsidRDefault="00763566" w:rsidP="00290804">
      <w:pPr>
        <w:spacing w:line="276" w:lineRule="auto"/>
        <w:ind w:left="60" w:right="60"/>
        <w:jc w:val="both"/>
        <w:rPr>
          <w:color w:val="000000"/>
        </w:rPr>
      </w:pPr>
    </w:p>
    <w:p w:rsidR="00290804" w:rsidRPr="00763566" w:rsidRDefault="00763566" w:rsidP="00290804">
      <w:pPr>
        <w:spacing w:line="276" w:lineRule="auto"/>
        <w:ind w:left="60" w:right="60"/>
        <w:jc w:val="both"/>
        <w:rPr>
          <w:b/>
          <w:color w:val="000000"/>
        </w:rPr>
      </w:pPr>
      <w:r w:rsidRPr="00763566">
        <w:rPr>
          <w:b/>
          <w:color w:val="000000"/>
        </w:rPr>
        <w:t>2.</w:t>
      </w:r>
      <w:r w:rsidR="00290804" w:rsidRPr="00763566">
        <w:rPr>
          <w:b/>
          <w:color w:val="000000"/>
        </w:rPr>
        <w:t>  Определение размера регулярной стимулирующей выплаты.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2.1</w:t>
      </w:r>
      <w:r w:rsidR="00763566">
        <w:rPr>
          <w:color w:val="000000"/>
        </w:rPr>
        <w:t>.</w:t>
      </w:r>
      <w:r w:rsidRPr="00290804">
        <w:rPr>
          <w:color w:val="000000"/>
        </w:rPr>
        <w:t xml:space="preserve"> Определение размера регулярной стимулирующей выплаты осуществляется по результатам </w:t>
      </w:r>
      <w:proofErr w:type="gramStart"/>
      <w:r w:rsidRPr="00290804">
        <w:rPr>
          <w:color w:val="000000"/>
        </w:rPr>
        <w:t xml:space="preserve">оценки </w:t>
      </w:r>
      <w:r w:rsidR="00763566">
        <w:rPr>
          <w:color w:val="000000"/>
        </w:rPr>
        <w:t>эффективности</w:t>
      </w:r>
      <w:r w:rsidRPr="00290804">
        <w:rPr>
          <w:color w:val="000000"/>
        </w:rPr>
        <w:t xml:space="preserve"> труда работников учреждения</w:t>
      </w:r>
      <w:proofErr w:type="gramEnd"/>
      <w:r w:rsidRPr="00290804">
        <w:rPr>
          <w:color w:val="000000"/>
        </w:rPr>
        <w:t xml:space="preserve">. Показатели </w:t>
      </w:r>
      <w:r w:rsidR="00763566">
        <w:rPr>
          <w:color w:val="000000"/>
        </w:rPr>
        <w:t>эффективности</w:t>
      </w:r>
      <w:r w:rsidRPr="00290804">
        <w:rPr>
          <w:color w:val="000000"/>
        </w:rPr>
        <w:t xml:space="preserve"> утв</w:t>
      </w:r>
      <w:r w:rsidR="00CD78F3">
        <w:rPr>
          <w:color w:val="000000"/>
        </w:rPr>
        <w:t>ерждаются приказом директора МБУ ДО</w:t>
      </w:r>
      <w:r w:rsidRPr="00290804">
        <w:rPr>
          <w:color w:val="000000"/>
        </w:rPr>
        <w:t xml:space="preserve"> </w:t>
      </w:r>
      <w:r w:rsidR="00763566">
        <w:rPr>
          <w:color w:val="000000"/>
        </w:rPr>
        <w:t>«РДДТ»</w:t>
      </w:r>
      <w:r w:rsidRPr="00290804">
        <w:rPr>
          <w:color w:val="000000"/>
        </w:rPr>
        <w:t>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2.2</w:t>
      </w:r>
      <w:r w:rsidR="00763566">
        <w:rPr>
          <w:color w:val="000000"/>
        </w:rPr>
        <w:t>. </w:t>
      </w:r>
      <w:r w:rsidRPr="00290804">
        <w:rPr>
          <w:color w:val="000000"/>
        </w:rPr>
        <w:t xml:space="preserve">Оценка </w:t>
      </w:r>
      <w:r w:rsidR="00763566">
        <w:rPr>
          <w:color w:val="000000"/>
        </w:rPr>
        <w:t>эффективности</w:t>
      </w:r>
      <w:r w:rsidRPr="00290804">
        <w:rPr>
          <w:color w:val="000000"/>
        </w:rPr>
        <w:t xml:space="preserve"> труда работников учреждения осуществляется комиссией по оценке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труда, состоящей  из представителей каждой категории работников, председателя профсоюзного комитета, члена Управляющего совета учреждения (всего </w:t>
      </w:r>
      <w:r w:rsidR="004F7652">
        <w:rPr>
          <w:color w:val="000000"/>
        </w:rPr>
        <w:t>6</w:t>
      </w:r>
      <w:r w:rsidRPr="00290804">
        <w:rPr>
          <w:color w:val="000000"/>
        </w:rPr>
        <w:t xml:space="preserve"> человек), один раз в год: июнь.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2.3</w:t>
      </w:r>
      <w:r w:rsidR="00763566">
        <w:rPr>
          <w:color w:val="000000"/>
        </w:rPr>
        <w:t>.</w:t>
      </w:r>
      <w:r w:rsidRPr="00290804">
        <w:rPr>
          <w:color w:val="000000"/>
        </w:rPr>
        <w:t xml:space="preserve"> Основанием для установления баллов по показателям при проведении оценки </w:t>
      </w:r>
      <w:r w:rsidR="00763566">
        <w:rPr>
          <w:color w:val="000000"/>
        </w:rPr>
        <w:t>эффективности</w:t>
      </w:r>
      <w:r w:rsidRPr="00290804">
        <w:rPr>
          <w:color w:val="000000"/>
        </w:rPr>
        <w:t xml:space="preserve"> труда работников является информация, содержащая конкретные результаты, итоги работы работников по каждому из показателей  оценки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труда, предоставляемая заместител</w:t>
      </w:r>
      <w:r w:rsidR="00AF7B5D">
        <w:rPr>
          <w:color w:val="000000"/>
        </w:rPr>
        <w:t>ем руководителя</w:t>
      </w:r>
      <w:r w:rsidRPr="00290804">
        <w:rPr>
          <w:color w:val="000000"/>
        </w:rPr>
        <w:t>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2.4</w:t>
      </w:r>
      <w:r w:rsidR="00421757">
        <w:rPr>
          <w:color w:val="000000"/>
        </w:rPr>
        <w:t>. </w:t>
      </w:r>
      <w:r w:rsidRPr="00290804">
        <w:rPr>
          <w:color w:val="000000"/>
        </w:rPr>
        <w:t>Определение размера регулярной стимулирующей выплаты работникам п</w:t>
      </w:r>
      <w:r w:rsidR="00421757">
        <w:rPr>
          <w:color w:val="000000"/>
        </w:rPr>
        <w:t>роизводится в следующем порядке: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2.4.1</w:t>
      </w:r>
      <w:r w:rsidR="00421757">
        <w:rPr>
          <w:color w:val="000000"/>
        </w:rPr>
        <w:t>. </w:t>
      </w:r>
      <w:r w:rsidRPr="00290804">
        <w:rPr>
          <w:color w:val="000000"/>
        </w:rPr>
        <w:t xml:space="preserve">Проводится балльная оценка результатов деятельности работников с использованием утвержденных критериев и показателей оценки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 </w:t>
      </w:r>
      <w:r w:rsidRPr="00290804">
        <w:rPr>
          <w:color w:val="000000"/>
        </w:rPr>
        <w:lastRenderedPageBreak/>
        <w:t xml:space="preserve">работников (по всем категориям). Результатом балльной оценки является ведомость результатов оценки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 работников (по всем категориям) в разрезе показателей, подписанная членами комиссии.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2.4.2</w:t>
      </w:r>
      <w:r w:rsidR="00421757">
        <w:rPr>
          <w:color w:val="000000"/>
        </w:rPr>
        <w:t>.  </w:t>
      </w:r>
      <w:r w:rsidRPr="00290804">
        <w:rPr>
          <w:color w:val="000000"/>
        </w:rPr>
        <w:t>Ежегодно определяется количество процентов от фонда постоянных (регулярных</w:t>
      </w:r>
      <w:r w:rsidR="00421757">
        <w:rPr>
          <w:color w:val="000000"/>
        </w:rPr>
        <w:t xml:space="preserve">) выплат по каждому показателю </w:t>
      </w:r>
      <w:r w:rsidRPr="00290804">
        <w:rPr>
          <w:color w:val="000000"/>
        </w:rPr>
        <w:t>не менее 30% от фонда. Определяется процент по каждому показателю, который утверждается приказом директора учреждения.  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2.4.3</w:t>
      </w:r>
      <w:r w:rsidR="003B31CC">
        <w:rPr>
          <w:color w:val="000000"/>
        </w:rPr>
        <w:t>.</w:t>
      </w:r>
      <w:r w:rsidRPr="00290804">
        <w:rPr>
          <w:color w:val="000000"/>
        </w:rPr>
        <w:t xml:space="preserve"> Производится расчет «стоимости» 1-го  балла по каждому из показателей оценки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труда, для этого сумма средств фонда постоянных (регулярных) стимулирующих выплат, приходящихся на соответствующий критерий оценки </w:t>
      </w:r>
      <w:r w:rsidR="00AF7B5D">
        <w:rPr>
          <w:color w:val="000000"/>
        </w:rPr>
        <w:t>эффективности</w:t>
      </w:r>
      <w:r w:rsidRPr="00290804">
        <w:rPr>
          <w:color w:val="000000"/>
        </w:rPr>
        <w:t xml:space="preserve"> труда, делится на общее количество баллов, которые набрали работники по данному критерию.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2.4.4</w:t>
      </w:r>
      <w:r w:rsidR="003B31CC">
        <w:rPr>
          <w:color w:val="000000"/>
        </w:rPr>
        <w:t>.</w:t>
      </w:r>
      <w:r w:rsidRPr="00290804">
        <w:rPr>
          <w:color w:val="000000"/>
        </w:rPr>
        <w:t xml:space="preserve"> Рассчитывается сумма регулярной (постоянной) стимулирующей выплаты  работнику путем суммирования сумм стимулирующей выплаты по каждому показателю, исчисленной путем умножения «стоимости» одного балла по каждому показателю на количество баллов, которое набрал работник.</w:t>
      </w:r>
    </w:p>
    <w:p w:rsidR="00290804" w:rsidRPr="00290804" w:rsidRDefault="003B31CC" w:rsidP="00290804">
      <w:pPr>
        <w:spacing w:line="276" w:lineRule="auto"/>
        <w:ind w:left="60" w:right="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90804" w:rsidRPr="00290804">
        <w:rPr>
          <w:color w:val="000000"/>
        </w:rPr>
        <w:t xml:space="preserve">Для руководящих и педагогических работников – максимально возможное количество баллов по критериям и показателям оценки </w:t>
      </w:r>
      <w:r w:rsidR="00AF7B5D">
        <w:rPr>
          <w:color w:val="000000"/>
        </w:rPr>
        <w:t>эффективности</w:t>
      </w:r>
      <w:r w:rsidR="00290804" w:rsidRPr="00290804">
        <w:rPr>
          <w:color w:val="000000"/>
        </w:rPr>
        <w:t xml:space="preserve"> труда – 100 баллов, для  других категорий работников максимальное количество баллов</w:t>
      </w:r>
      <w:r>
        <w:rPr>
          <w:color w:val="000000"/>
        </w:rPr>
        <w:t xml:space="preserve"> </w:t>
      </w:r>
      <w:r w:rsidR="00290804" w:rsidRPr="00290804">
        <w:rPr>
          <w:color w:val="000000"/>
        </w:rPr>
        <w:t>– 50 и 40  соответственно.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2.4.5    Размер регулярных (постоянных) стимулирующих выплат, установленных работникам, может пересматриваться в период их действия в следующих случаях: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повышение установленного размера базовой единицы;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 xml:space="preserve">- внесения постановлением Администрации </w:t>
      </w:r>
      <w:r w:rsidR="00412528">
        <w:rPr>
          <w:color w:val="000000"/>
        </w:rPr>
        <w:t>района</w:t>
      </w:r>
      <w:r w:rsidRPr="00290804">
        <w:rPr>
          <w:color w:val="000000"/>
        </w:rPr>
        <w:t>  изменений в размер повышающих коэффициентов;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реорганизации учреждений.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2.5</w:t>
      </w:r>
      <w:r w:rsidR="00412528">
        <w:rPr>
          <w:color w:val="000000"/>
        </w:rPr>
        <w:t>.</w:t>
      </w:r>
      <w:r w:rsidRPr="00290804">
        <w:rPr>
          <w:color w:val="000000"/>
        </w:rPr>
        <w:t xml:space="preserve"> Размер регулярной стимулирующей выплаты работникам снижается по следующим основаниям: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неисполнение или ненадлежащее исполнение должностных обязанностей – 100%;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прогул, появление на работе в нетрезвом состоянии – 100%;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систематическое опоздание на работу без уважительных причин и другие нарушения Правил внутреннего трудового распорядка – 100%;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 xml:space="preserve">- нарушение законодательства Российской Федерации, </w:t>
      </w:r>
      <w:r w:rsidR="00412528">
        <w:rPr>
          <w:color w:val="000000"/>
        </w:rPr>
        <w:t>Тамбовской области</w:t>
      </w:r>
      <w:r w:rsidRPr="00290804">
        <w:rPr>
          <w:color w:val="000000"/>
        </w:rPr>
        <w:t>, иных нормативных правовых актов – 50%;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нарушение финансовой дисциплины – 75%;</w:t>
      </w:r>
    </w:p>
    <w:p w:rsidR="00290804" w:rsidRPr="00290804" w:rsidRDefault="00412528" w:rsidP="00290804">
      <w:pPr>
        <w:spacing w:line="276" w:lineRule="auto"/>
        <w:ind w:left="60" w:right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290804" w:rsidRPr="00290804">
        <w:rPr>
          <w:color w:val="000000"/>
        </w:rPr>
        <w:t>нарушение установленных сроков отчетности, предоставления информации; недостоверность отчетов, информации – 80%;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неправильное хранение материалов, инструментов, оборудования, инвентаря – 50%;</w:t>
      </w:r>
    </w:p>
    <w:p w:rsidR="00290804" w:rsidRPr="00290804" w:rsidRDefault="00412528" w:rsidP="00290804">
      <w:pPr>
        <w:spacing w:line="276" w:lineRule="auto"/>
        <w:ind w:left="60" w:right="60"/>
        <w:jc w:val="both"/>
        <w:rPr>
          <w:color w:val="000000"/>
        </w:rPr>
      </w:pPr>
      <w:r>
        <w:rPr>
          <w:color w:val="000000"/>
        </w:rPr>
        <w:t>- н</w:t>
      </w:r>
      <w:r w:rsidR="00290804" w:rsidRPr="00290804">
        <w:rPr>
          <w:color w:val="000000"/>
        </w:rPr>
        <w:t>арушение правил и норм безопасности учреждения, охраны труда, техники безопасности – 75%;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- нарушение прав и законных интересов граждан, юридических лиц – 75%.</w:t>
      </w:r>
    </w:p>
    <w:p w:rsidR="00290804" w:rsidRPr="00290804" w:rsidRDefault="00290804" w:rsidP="00290804">
      <w:pPr>
        <w:spacing w:line="276" w:lineRule="auto"/>
        <w:ind w:left="60" w:right="60"/>
        <w:jc w:val="both"/>
        <w:rPr>
          <w:color w:val="000000"/>
        </w:rPr>
      </w:pPr>
      <w:r w:rsidRPr="00290804">
        <w:rPr>
          <w:color w:val="000000"/>
        </w:rPr>
        <w:t>2.6</w:t>
      </w:r>
      <w:r w:rsidR="00F743A6">
        <w:rPr>
          <w:color w:val="000000"/>
        </w:rPr>
        <w:t>.</w:t>
      </w:r>
      <w:r w:rsidRPr="00290804">
        <w:rPr>
          <w:color w:val="000000"/>
        </w:rPr>
        <w:t xml:space="preserve"> Остаток средств фонда регулярных стимулирующих выплат, сложившийся в связи с отсутствием оснований для стимулирования работника за соответствующий отчетный период, является экономией фонда оплаты труда и используется в установленном порядке.</w:t>
      </w:r>
    </w:p>
    <w:p w:rsidR="00A8027A" w:rsidRPr="00290804" w:rsidRDefault="00A8027A" w:rsidP="00412528">
      <w:pPr>
        <w:spacing w:line="276" w:lineRule="auto"/>
        <w:jc w:val="both"/>
      </w:pPr>
    </w:p>
    <w:sectPr w:rsidR="00A8027A" w:rsidRPr="00290804" w:rsidSect="00A8027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B5" w:rsidRDefault="008140B5" w:rsidP="007842A2">
      <w:r>
        <w:separator/>
      </w:r>
    </w:p>
  </w:endnote>
  <w:endnote w:type="continuationSeparator" w:id="1">
    <w:p w:rsidR="008140B5" w:rsidRDefault="008140B5" w:rsidP="0078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9" w:rsidRDefault="00DB4753" w:rsidP="00A152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B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2B9" w:rsidRDefault="004F7652" w:rsidP="00A152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9" w:rsidRDefault="00DB4753" w:rsidP="00A152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B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52">
      <w:rPr>
        <w:rStyle w:val="a7"/>
        <w:noProof/>
      </w:rPr>
      <w:t>2</w:t>
    </w:r>
    <w:r>
      <w:rPr>
        <w:rStyle w:val="a7"/>
      </w:rPr>
      <w:fldChar w:fldCharType="end"/>
    </w:r>
  </w:p>
  <w:p w:rsidR="00A152B9" w:rsidRDefault="004F7652" w:rsidP="00A152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B5" w:rsidRDefault="008140B5" w:rsidP="007842A2">
      <w:r>
        <w:separator/>
      </w:r>
    </w:p>
  </w:footnote>
  <w:footnote w:type="continuationSeparator" w:id="1">
    <w:p w:rsidR="008140B5" w:rsidRDefault="008140B5" w:rsidP="00784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9" w:rsidRDefault="00DB4753" w:rsidP="00A152B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B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2B9" w:rsidRDefault="004F7652" w:rsidP="00A152B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9" w:rsidRDefault="004F7652" w:rsidP="00A152B9">
    <w:pPr>
      <w:pStyle w:val="a8"/>
      <w:framePr w:wrap="around" w:vAnchor="text" w:hAnchor="margin" w:xAlign="right" w:y="1"/>
      <w:rPr>
        <w:rStyle w:val="a7"/>
      </w:rPr>
    </w:pPr>
  </w:p>
  <w:p w:rsidR="00A152B9" w:rsidRDefault="004F7652" w:rsidP="00A152B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993"/>
    <w:multiLevelType w:val="hybridMultilevel"/>
    <w:tmpl w:val="7C4270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BC"/>
    <w:rsid w:val="001524C0"/>
    <w:rsid w:val="00290804"/>
    <w:rsid w:val="00321807"/>
    <w:rsid w:val="003B31CC"/>
    <w:rsid w:val="00412528"/>
    <w:rsid w:val="00421757"/>
    <w:rsid w:val="00455EFD"/>
    <w:rsid w:val="00497525"/>
    <w:rsid w:val="004B40F1"/>
    <w:rsid w:val="004F7652"/>
    <w:rsid w:val="0052132F"/>
    <w:rsid w:val="0056041C"/>
    <w:rsid w:val="00610FA2"/>
    <w:rsid w:val="00694086"/>
    <w:rsid w:val="007132FC"/>
    <w:rsid w:val="00763566"/>
    <w:rsid w:val="007842A2"/>
    <w:rsid w:val="008140B5"/>
    <w:rsid w:val="0081420D"/>
    <w:rsid w:val="00882A58"/>
    <w:rsid w:val="009424B3"/>
    <w:rsid w:val="009A2704"/>
    <w:rsid w:val="00A8027A"/>
    <w:rsid w:val="00AF7B5D"/>
    <w:rsid w:val="00B56CEA"/>
    <w:rsid w:val="00C41041"/>
    <w:rsid w:val="00CD78F3"/>
    <w:rsid w:val="00CE226A"/>
    <w:rsid w:val="00D155B7"/>
    <w:rsid w:val="00D15B52"/>
    <w:rsid w:val="00D7617E"/>
    <w:rsid w:val="00D954BC"/>
    <w:rsid w:val="00DB4753"/>
    <w:rsid w:val="00F40A07"/>
    <w:rsid w:val="00F42B8D"/>
    <w:rsid w:val="00F743A6"/>
    <w:rsid w:val="00F7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1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ind w:left="720"/>
      <w:contextualSpacing/>
    </w:pPr>
  </w:style>
  <w:style w:type="paragraph" w:styleId="a4">
    <w:name w:val="No Spacing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footer"/>
    <w:basedOn w:val="a"/>
    <w:link w:val="a6"/>
    <w:rsid w:val="00D95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54BC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954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page number"/>
    <w:basedOn w:val="a0"/>
    <w:rsid w:val="00D155B7"/>
  </w:style>
  <w:style w:type="paragraph" w:styleId="a8">
    <w:name w:val="header"/>
    <w:basedOn w:val="a"/>
    <w:link w:val="a9"/>
    <w:rsid w:val="00D15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55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15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935</Words>
  <Characters>5333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2013-12-02T09:45:00Z</dcterms:created>
  <dcterms:modified xsi:type="dcterms:W3CDTF">2016-10-27T08:32:00Z</dcterms:modified>
</cp:coreProperties>
</file>